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vertAlign w:val="baseline"/>
          <w:rtl w:val="0"/>
        </w:rPr>
        <w:t xml:space="preserve">SEXUAL HARASSMENT</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This Carbonado School District is committed to a positive and productive education and working environment free from discrimination, including sexual harassment. The Carbonado School District prohibits sexual harassment of employees, students and others involved in School District activities.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Sexual harassment occurs when: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54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1.</w:t>
        <w:tab/>
        <w:t xml:space="preserve">Submitting to the harasser’s sexual demands is a stated or implied condition of obtaining</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Fonts w:ascii="Times New Roman" w:cs="Times New Roman" w:eastAsia="Times New Roman" w:hAnsi="Times New Roman"/>
          <w:sz w:val="22"/>
          <w:szCs w:val="22"/>
          <w:vertAlign w:val="baseline"/>
          <w:rtl w:val="0"/>
        </w:rPr>
        <w:t xml:space="preserve">an education or work opportunities or other benefit;</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tl w:val="0"/>
        </w:rPr>
      </w:r>
    </w:p>
    <w:p w:rsidR="00000000" w:rsidDel="00000000" w:rsidP="00000000" w:rsidRDefault="00000000" w:rsidRPr="00000000">
      <w:pPr>
        <w:ind w:left="54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2. Submission to or rejection of sexual demands is a factor in work, academic or other</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Fonts w:ascii="Times New Roman" w:cs="Times New Roman" w:eastAsia="Times New Roman" w:hAnsi="Times New Roman"/>
          <w:sz w:val="22"/>
          <w:szCs w:val="22"/>
          <w:vertAlign w:val="baseline"/>
          <w:rtl w:val="0"/>
        </w:rPr>
        <w:t xml:space="preserve">school-related decision affecting an individual; or</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tl w:val="0"/>
        </w:rPr>
      </w:r>
    </w:p>
    <w:p w:rsidR="00000000" w:rsidDel="00000000" w:rsidP="00000000" w:rsidRDefault="00000000" w:rsidRPr="00000000">
      <w:pPr>
        <w:ind w:left="540" w:firstLine="0"/>
        <w:contextualSpacing w:val="0"/>
      </w:pPr>
      <w:r w:rsidDel="00000000" w:rsidR="00000000" w:rsidRPr="00000000">
        <w:rPr>
          <w:rFonts w:ascii="Times New Roman" w:cs="Times New Roman" w:eastAsia="Times New Roman" w:hAnsi="Times New Roman"/>
          <w:sz w:val="22"/>
          <w:szCs w:val="22"/>
          <w:vertAlign w:val="baseline"/>
          <w:rtl w:val="0"/>
        </w:rPr>
        <w:t xml:space="preserve">3.Unwelcome sexual or gender-directed conduct or communication interferes with an</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Fonts w:ascii="Times New Roman" w:cs="Times New Roman" w:eastAsia="Times New Roman" w:hAnsi="Times New Roman"/>
          <w:sz w:val="22"/>
          <w:szCs w:val="22"/>
          <w:vertAlign w:val="baseline"/>
          <w:rtl w:val="0"/>
        </w:rPr>
        <w:t xml:space="preserve">individual’s performance or creates an intimidating, hostile or offensive environment.</w:t>
      </w:r>
      <w:r w:rsidDel="00000000" w:rsidR="00000000" w:rsidRPr="00000000">
        <w:rPr>
          <w:rtl w:val="0"/>
        </w:rPr>
      </w:r>
    </w:p>
    <w:p w:rsidR="00000000" w:rsidDel="00000000" w:rsidP="00000000" w:rsidRDefault="00000000" w:rsidRPr="00000000">
      <w:pPr>
        <w:ind w:left="540" w:firstLine="18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Sexual harassment can occur adult to student, student to adult, student to student, adult to adult,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male to female, female to male, male to male, and female to female.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The Carbonado School District will take prompt, equitable and remedial action within its authority on reports, complaints and grievances alleging sexual harassment that come to the attention of the District, either formally or informally. Allegations of criminal misconduct will be reported to law enforcement and suspected child abuse will be reported to law enforcement or Child Protective Services. Persons found to have been subjected to sexual harassment will have appropriate School District services made reasonably available to them and adverse consequences of the harassment shall be reviewed and remedied, as appropriate.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Engaging in sexual harassment will result in appropriate discipline or other appropriate sanctions against offending staff, students and contractors. Anyone else who engages in sexual harassment on school property or at school activities will have their access to school property and activities restricted, as appropriate.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Retaliation against any person who makes or is a witness in a sexual harassment complaint is prohibited and will result in appropriate discipline. The Carbonado School District will take appropriate actions to protect involved persons from retaliation.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It is a violation of this policy to knowingly report false allegations of sexual harassment.  Persons found to knowingly report or corroborate false allegations will be subject to appropriate discipline.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2"/>
          <w:szCs w:val="22"/>
          <w:vertAlign w:val="baseline"/>
          <w:rtl w:val="0"/>
        </w:rPr>
        <w:t xml:space="preserve">The Superintendent shall appoint an Equal Employment Opportunities Commission (EEOC) officer and develop and implement formal and informal procedures for receiving, investigating and resolving complaints or reports of sexual harassment by the officer. The procedures will include reasonable and prompt time lines and delineate staff responsibilities under this policy.  All staff are responsible for receiving informal complaints and reports of sexual harassment and </w:t>
      </w:r>
      <w:r w:rsidDel="00000000" w:rsidR="00000000" w:rsidRPr="00000000">
        <w:rPr>
          <w:rFonts w:ascii="Times New Roman" w:cs="Times New Roman" w:eastAsia="Times New Roman" w:hAnsi="Times New Roman"/>
          <w:vertAlign w:val="baseline"/>
          <w:rtl w:val="0"/>
        </w:rPr>
        <w:t xml:space="preserve">informing appropriate Carbonado School District personnel of the complaint or report for investigation and resolution. All staff are also responsible for directing complainants to the formal complaint process.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The Superintendent shall develop procedures to provide age-appropriate information and education to Carbonado School District staff, students, parents and volunteers regarding this policy and the recognition and prevention of sexual harassment. At a minimum sexual harassment recognition and prevention and the elements of this policy will be included in staff, student and regular volunteer orientation. This policy shall be posted in each District building in a place available to staff, students, parents, volunteers and visitors. The policy shall be reproduced in each staff, student, volunteer and parent handbook.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The Superintendent shall make an annual report to the Board reviewing the use and efficacy of this policy and related procedures. Recommendations for changes to this policy, if applicable, shall be included in the report. The Superintendent is encouraged to involve staff, students, volunteers and parents in the review process.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Cross References</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3210 Nondiscrimination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3207 Prohibition of Harassment, Intimidation, and Bullying</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3207P Regulation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3240 Student Conduct</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3421 Child Abuse and Neglect</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5010 Nondiscrimination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w:t>
        <w:tab/>
        <w:t xml:space="preserve">5011 Affirmative Action</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vertAlign w:val="baseline"/>
          <w:rtl w:val="0"/>
        </w:rPr>
        <w:t xml:space="preserve">Board Policy </w:t>
        <w:tab/>
        <w:t xml:space="preserve">5255 Disciplinary Action and Discharge</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Legal References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RCW 28A.640.020 </w:t>
        <w:tab/>
        <w:tab/>
        <w:t xml:space="preserve">Regulations, guidelines to eliminate discrimination - Scope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WAC 392-190-056-058 </w:t>
        <w:tab/>
        <w:t xml:space="preserve">Sexual Harassment</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Adopted: 3/19/2007</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5840" w:w="1224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CARBONADO SCHOOL DISTRICT</w:t>
      <w:tab/>
      <w:tab/>
      <w:tab/>
      <w:tab/>
      <w:tab/>
      <w:t xml:space="preserve">Page </w:t>
    </w:r>
    <w:fldSimple w:instr="PAGE" w:fldLock="0" w:dirty="0">
      <w:r w:rsidDel="00000000" w:rsidR="00000000" w:rsidRPr="00000000">
        <w:rPr>
          <w:rFonts w:ascii="Times New Roman" w:cs="Times New Roman" w:eastAsia="Times New Roman" w:hAnsi="Times New Roman"/>
          <w:vertAlign w:val="baseline"/>
        </w:rPr>
      </w:r>
    </w:fldSimple>
    <w:r w:rsidDel="00000000" w:rsidR="00000000" w:rsidRPr="00000000">
      <w:rPr>
        <w:rFonts w:ascii="Times New Roman" w:cs="Times New Roman" w:eastAsia="Times New Roman" w:hAnsi="Times New Roman"/>
        <w:vertAlign w:val="baseline"/>
        <w:rtl w:val="0"/>
      </w:rPr>
      <w:t xml:space="preserve"> of </w:t>
    </w:r>
    <w:fldSimple w:instr="NUMPAGES" w:fldLock="0" w:dirty="0">
      <w:r w:rsidDel="00000000" w:rsidR="00000000" w:rsidRPr="00000000">
        <w:rPr>
          <w:rFonts w:ascii="Times New Roman" w:cs="Times New Roman" w:eastAsia="Times New Roman" w:hAnsi="Times New Roman"/>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vertAlign w:val="baseline"/>
        <w:rtl w:val="0"/>
      </w:rPr>
      <w:t xml:space="preserve">Sexual Harassment </w:t>
      <w:tab/>
      <w:tab/>
      <w:tab/>
      <w:tab/>
      <w:tab/>
      <w:tab/>
      <w:tab/>
      <w:t xml:space="preserve"> Policy No. 5013</w:t>
    </w:r>
    <w:r w:rsidDel="00000000" w:rsidR="00000000" w:rsidRPr="00000000">
      <w:rPr>
        <w:rtl w:val="0"/>
      </w:rPr>
    </w:r>
  </w:p>
  <w:p w:rsidR="00000000" w:rsidDel="00000000" w:rsidP="00000000" w:rsidRDefault="00000000" w:rsidRPr="00000000">
    <w:pPr>
      <w:ind w:left="6480" w:firstLine="720"/>
      <w:contextualSpacing w:val="0"/>
    </w:pPr>
    <w:r w:rsidDel="00000000" w:rsidR="00000000" w:rsidRPr="00000000">
      <w:rPr>
        <w:rFonts w:ascii="Times New Roman" w:cs="Times New Roman" w:eastAsia="Times New Roman" w:hAnsi="Times New Roman"/>
        <w:vertAlign w:val="baseline"/>
        <w:rtl w:val="0"/>
      </w:rPr>
      <w:t xml:space="preserve">Personnel</w:t>
    </w:r>
    <w:r w:rsidDel="00000000" w:rsidR="00000000" w:rsidRPr="00000000">
      <w:rPr>
        <w:rtl w:val="0"/>
      </w:rPr>
    </w:r>
  </w:p>
  <w:p w:rsidR="00000000" w:rsidDel="00000000" w:rsidP="00000000" w:rsidRDefault="00000000" w:rsidRPr="00000000">
    <w:pPr>
      <w:tabs>
        <w:tab w:val="center" w:pos="4320"/>
        <w:tab w:val="right" w:pos="8640"/>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