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2"/>
          <w:szCs w:val="22"/>
          <w:vertAlign w:val="baseline"/>
          <w:rtl w:val="0"/>
        </w:rPr>
        <w:t xml:space="preserve">CHILD ABUSE, NEGLECT AND EXPLOITATION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2"/>
          <w:szCs w:val="22"/>
          <w:vertAlign w:val="baseline"/>
          <w:rtl w:val="0"/>
        </w:rPr>
        <w:t xml:space="preserve">PREVENTION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Child abuse, neglect and exploitation are violations of children's human rights and an obstacle to their educational development. The Board directs that staff shall be alert for any evidence of such abuse, neglect or exploitation. For purposes of this policy, "child abuse, neglect or exploitation"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shall mean: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A. </w:t>
        <w:tab/>
        <w:t xml:space="preserve">Inflicting physical injury on a child by other than accidental means, causing death,</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disfigurement, skin bruising, impairment of physical or emotional health, or loss or impairment of any bodily function.</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B. </w:t>
        <w:tab/>
        <w:t xml:space="preserve">Creating a substantial risk of physical harm to a child’s bodily functioning.</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Fonts w:ascii="Times New Roman" w:cs="Times New Roman" w:eastAsia="Times New Roman" w:hAnsi="Times New Roman"/>
          <w:sz w:val="22"/>
          <w:szCs w:val="22"/>
          <w:vertAlign w:val="baseline"/>
          <w:rtl w:val="0"/>
        </w:rPr>
        <w:t xml:space="preserve">C. </w:t>
        <w:tab/>
        <w:t xml:space="preserve">Committing or allowing to be committed any sexual offense against a child as defined in the criminal code, or intentionally touching, either directly or through the clothing, the genitals, anus or breasts of a child for other than hygiene, child care or health care purposes.</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Fonts w:ascii="Times New Roman" w:cs="Times New Roman" w:eastAsia="Times New Roman" w:hAnsi="Times New Roman"/>
          <w:sz w:val="22"/>
          <w:szCs w:val="22"/>
          <w:vertAlign w:val="baseline"/>
          <w:rtl w:val="0"/>
        </w:rPr>
        <w:t xml:space="preserve">D. </w:t>
        <w:tab/>
        <w:t xml:space="preserve">Committing acts which are cruel or inhumane regardless of observable injury. Such acts may include, but are not limited to, instances of extreme discipline demonstrating a disregard of a child’s pain or mental suffering.</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E. </w:t>
        <w:tab/>
        <w:t xml:space="preserve">Assaulting or criminally mistreating a child as defined by the criminal code.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F. </w:t>
        <w:tab/>
        <w:t xml:space="preserve">Failing to provide food, shelter, clothing, supervision or health care necessary to a child’s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health or safety.</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G. </w:t>
        <w:tab/>
        <w:t xml:space="preserve">Engaging in actions or omissions resulting in injury to, or creating a substantial risk to the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physical or mental health or development of a child.</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H. Failing to take reasonable steps to prevent the occurrence of the preceding actions.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Child abuse can include abuse by another minor and so may be included in incidents of student misconduct.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The Carbonado School District will provide inservice training to staff dealing with issues surrounding child abuse.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The Superintendent shall develop reporting procedures, including sample indicators of abuse and neglect, and shall disseminate the procedures to all staff. The purpose is to identify and report as soon as possible to the proper authorities all evidence of child abuse or neglect.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Certificated staff are legally responsible for reporting all suspected cases of child abuse and neglect. Under state law classified staff are free from liability for reporting instances of abuse or neglect and certificated staff are criminally liable for failure to do so.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Staff need not verify that a child has in fact been abused or neglected. Any conditions or information that may reasonably be related to abuse or neglect should be reported. Legal authorities have the responsibility for investigating each case and taking such action as is appropriate under the circumstances.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Cross Reference</w:t>
      </w:r>
      <w:r w:rsidDel="00000000" w:rsidR="00000000" w:rsidRPr="00000000">
        <w:rPr>
          <w:rtl w:val="0"/>
        </w:rPr>
      </w:r>
    </w:p>
    <w:p w:rsidR="00000000" w:rsidDel="00000000" w:rsidP="00000000" w:rsidRDefault="00000000" w:rsidRPr="00000000">
      <w:pPr>
        <w:ind w:left="2160" w:hanging="2160"/>
        <w:contextualSpacing w:val="0"/>
      </w:pPr>
      <w:r w:rsidDel="00000000" w:rsidR="00000000" w:rsidRPr="00000000">
        <w:rPr>
          <w:rFonts w:ascii="Times New Roman" w:cs="Times New Roman" w:eastAsia="Times New Roman" w:hAnsi="Times New Roman"/>
          <w:sz w:val="22"/>
          <w:szCs w:val="22"/>
          <w:vertAlign w:val="baseline"/>
          <w:rtl w:val="0"/>
        </w:rPr>
        <w:t xml:space="preserve">Board Policy 4310 </w:t>
        <w:tab/>
        <w:t xml:space="preserve">Relations with the Law Enforcement and Child Protective Agencies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Legal References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RCW13.34.300 </w:t>
        <w:tab/>
        <w:tab/>
        <w:t xml:space="preserve">Failure to cause juvenile to attend school as evidence under neglect</w:t>
      </w:r>
      <w:r w:rsidDel="00000000" w:rsidR="00000000" w:rsidRPr="00000000">
        <w:rPr>
          <w:rtl w:val="0"/>
        </w:rPr>
      </w:r>
    </w:p>
    <w:p w:rsidR="00000000" w:rsidDel="00000000" w:rsidP="00000000" w:rsidRDefault="00000000" w:rsidRPr="00000000">
      <w:pPr>
        <w:ind w:left="1440" w:firstLine="720"/>
        <w:contextualSpacing w:val="0"/>
      </w:pPr>
      <w:r w:rsidDel="00000000" w:rsidR="00000000" w:rsidRPr="00000000">
        <w:rPr>
          <w:rFonts w:ascii="Times New Roman" w:cs="Times New Roman" w:eastAsia="Times New Roman" w:hAnsi="Times New Roman"/>
          <w:sz w:val="22"/>
          <w:szCs w:val="22"/>
          <w:vertAlign w:val="baseline"/>
          <w:rtl w:val="0"/>
        </w:rPr>
        <w:t xml:space="preserve">Petition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RCW 26.44.020 </w:t>
        <w:tab/>
        <w:t xml:space="preserve">Child abuse — Definitions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160" w:hanging="2160"/>
        <w:contextualSpacing w:val="0"/>
      </w:pPr>
      <w:r w:rsidDel="00000000" w:rsidR="00000000" w:rsidRPr="00000000">
        <w:rPr>
          <w:rFonts w:ascii="Times New Roman" w:cs="Times New Roman" w:eastAsia="Times New Roman" w:hAnsi="Times New Roman"/>
          <w:sz w:val="22"/>
          <w:szCs w:val="22"/>
          <w:vertAlign w:val="baseline"/>
          <w:rtl w:val="0"/>
        </w:rPr>
        <w:t xml:space="preserve">RCW 26.44.030 </w:t>
        <w:tab/>
        <w:t xml:space="preserve">Reports — Duty and authority to make — Duty of receiving agency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RCW 28A.620.010 </w:t>
        <w:tab/>
        <w:t xml:space="preserve">Community education provisions — Purposes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RCW 28A.620.020 </w:t>
        <w:tab/>
        <w:t xml:space="preserve">Community education provisions — Restrictions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RCW 43.43.830(6) </w:t>
        <w:tab/>
        <w:t xml:space="preserve">Background checks — Access to children or vulnerable persons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WAC 388-15-130(3) </w:t>
        <w:tab/>
        <w:t xml:space="preserve">Definition of child abuse, neglect or exploitation</w:t>
      </w:r>
      <w:r w:rsidDel="00000000" w:rsidR="00000000" w:rsidRPr="00000000">
        <w:rPr>
          <w:rtl w:val="0"/>
        </w:rPr>
      </w:r>
    </w:p>
    <w:p w:rsidR="00000000" w:rsidDel="00000000" w:rsidP="00000000" w:rsidRDefault="00000000" w:rsidRPr="00000000">
      <w:pPr>
        <w:ind w:left="2160" w:hanging="2160"/>
        <w:contextualSpacing w:val="0"/>
      </w:pPr>
      <w:r w:rsidDel="00000000" w:rsidR="00000000" w:rsidRPr="00000000">
        <w:rPr>
          <w:rFonts w:ascii="Times New Roman" w:cs="Times New Roman" w:eastAsia="Times New Roman" w:hAnsi="Times New Roman"/>
          <w:sz w:val="22"/>
          <w:szCs w:val="22"/>
          <w:vertAlign w:val="baseline"/>
          <w:rtl w:val="0"/>
        </w:rPr>
        <w:t xml:space="preserve">AGO 1987, No. 9 </w:t>
        <w:tab/>
        <w:t xml:space="preserve">Children — Child Abuse — Reporting by School Officials — Alleged Abuse by Student</w:t>
      </w:r>
      <w:r w:rsidDel="00000000" w:rsidR="00000000" w:rsidRPr="00000000">
        <w:rPr>
          <w:rtl w:val="0"/>
        </w:rPr>
      </w:r>
    </w:p>
    <w:p w:rsidR="00000000" w:rsidDel="00000000" w:rsidP="00000000" w:rsidRDefault="00000000" w:rsidRPr="00000000">
      <w:pPr>
        <w:ind w:left="2160" w:hanging="2160"/>
        <w:contextualSpacing w:val="0"/>
      </w:pPr>
      <w:r w:rsidDel="00000000" w:rsidR="00000000" w:rsidRPr="00000000">
        <w:rPr>
          <w:rtl w:val="0"/>
        </w:rPr>
      </w:r>
    </w:p>
    <w:p w:rsidR="00000000" w:rsidDel="00000000" w:rsidP="00000000" w:rsidRDefault="00000000" w:rsidRPr="00000000">
      <w:pPr>
        <w:ind w:left="2160" w:hanging="21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Adopted 5-10-99</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Revised 03-09-00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Revised 04-12-04</w:t>
      </w:r>
    </w:p>
    <w:p w:rsidR="00000000" w:rsidDel="00000000" w:rsidP="00000000" w:rsidRDefault="00000000" w:rsidRPr="00000000">
      <w:pPr>
        <w:contextualSpacing w:val="0"/>
      </w:pPr>
      <w:r w:rsidDel="00000000" w:rsidR="00000000" w:rsidRPr="00000000">
        <w:rPr>
          <w:sz w:val="22"/>
          <w:szCs w:val="22"/>
          <w:rtl w:val="0"/>
        </w:rPr>
        <w:t xml:space="preserve">Revised 03-19-07</w:t>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Carbonado School District</w:t>
      <w:tab/>
      <w:tab/>
      <w:t xml:space="preserve">Page 1 of 2</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18"/>
        <w:szCs w:val="18"/>
        <w:vertAlign w:val="baseline"/>
        <w:rtl w:val="0"/>
      </w:rPr>
      <w:t xml:space="preserve">Child Abuse, Neglect and Exploitation Prevention</w:t>
      <w:tab/>
      <w:tab/>
      <w:tab/>
      <w:t xml:space="preserve">        </w:t>
      <w:tab/>
      <w:tab/>
      <w:t xml:space="preserve">     Policy No. 3421</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18"/>
        <w:szCs w:val="18"/>
        <w:vertAlign w:val="baseline"/>
        <w:rtl w:val="0"/>
      </w:rPr>
      <w:t xml:space="preserve">Students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