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b w:val="1"/>
          <w:vertAlign w:val="baseline"/>
          <w:rtl w:val="0"/>
        </w:rPr>
        <w:t xml:space="preserve">Disciplinary Action and Discharge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Staff who fail to fulfill their job responsibilities or follow the reasonable directions of their administrators or who conduct themselves on or off the job in ways that significantly affect their effectiveness on the job or otherwise act in such a way that the law determines to be sufficient cause will be subject to discipline. Behavior, conduct, or action which may institute disciplinary action or discharge may include, but is not limited to:</w:t>
      </w:r>
      <w:r w:rsidDel="00000000" w:rsidR="00000000" w:rsidRPr="00000000">
        <w:rPr>
          <w:rtl w:val="0"/>
        </w:rPr>
      </w:r>
    </w:p>
    <w:p w:rsidR="00000000" w:rsidDel="00000000" w:rsidP="00000000" w:rsidRDefault="00000000" w:rsidRPr="00000000">
      <w:pPr>
        <w:tabs>
          <w:tab w:val="left" w:pos="8730"/>
        </w:tabs>
        <w:spacing w:after="120" w:before="0" w:line="240" w:lineRule="auto"/>
        <w:ind w:left="360" w:right="63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Insubordination, gross incompetence, immorality, sexual misconduct, conviction of a felony, nonprofessional conduct, mental or physical inability to perform the duties for which employed, intemperance, intentional discrimination, vulgar speech or actions, use of habit-forming drugs without pharmaceutical prescription by a doctor of medicine licensed to practice in the state of Washington, use of alcoholic beverages on school premises or at a school-sponsored activity off the school premises, and use of district supplies and equipment for personal betterment or financial gain.</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Discipline will be reasonably appropriate to the circumstances but may include suspension or discharge.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In the event that allegations or charges are made against a staff member for misconduct with minors, the superintendent may contact the Child Protective Services central registry for evidence regarding whether the staff member is an adjudicated or admitted perpetrator of child abuse or neglect. Discharge or other adverse action affecting the contract status of certificated staff will be instituted by the superintendent in the manner prescribed by law.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When allegations are made against an employee of sexual abuse, verbal abuse or physical abuse the district will make a determination whether the abuse or misconduct occurred.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If the district determines that sufficient information exists to conclude that the abuse or misconduct occurred and that the abuse or misconduct resulted in the employee’s leaving his or her position at the district, the district must forward known information about the employee sexual misconduct to prospective school district employers.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district will not enter into any contract to suppress information about verbal or physical abuse or sexual misconduct by a present or former employee. Neither will the district expunge such information from the employee’s file.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In cases where the allegations involve violations of the state professional code of conduct for certificated staff, the superintendent will file a report with the Office of Professional Practice in the State Superintendent’s office. When the district or superintendent discharges, fails to renew the contract or permits a certificated staff member to resign, the superintendent will notify the office of professional practice of such termination of employment.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superintendent is authorized to suspend a provisional status staff member immediately. Provisional status as used herein is granted to a staff member for the first 36 months of employment. Thereafter, if performance has been acceptable, the staff member will be granted regular status.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superintendent is authorized to suspend a regular status staff member immediately. The staff member will be advised of the right to request an informal pretermination meeting within five (5) working days following notice. At such time the staff member may receive notice of the charges against him/her, an explanation of the evidence, and an opportunity to refute any of the charges made.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Upon the request of the suspended staff member, the board will meet with the suspended staff member to determine if discharge action will be taken. If a request is not received, the board acts upon the recommendation of the superintendent.</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Cross References:</w:t>
        <w:tab/>
        <w:t xml:space="preserve">Board Policy 5021</w:t>
        <w:tab/>
        <w:t xml:space="preserve">Certification Revocation</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Legal References:</w:t>
        <w:tab/>
      </w:r>
      <w:hyperlink r:id="rId5">
        <w:r w:rsidDel="00000000" w:rsidR="00000000" w:rsidRPr="00000000">
          <w:rPr>
            <w:rFonts w:ascii="Times New Roman" w:cs="Times New Roman" w:eastAsia="Times New Roman" w:hAnsi="Times New Roman"/>
            <w:b w:val="0"/>
            <w:color w:val="0000ff"/>
            <w:sz w:val="24"/>
            <w:szCs w:val="24"/>
            <w:u w:val="single"/>
            <w:vertAlign w:val="baseline"/>
            <w:rtl w:val="0"/>
          </w:rPr>
          <w:t xml:space="preserve">RCW</w:t>
          <w:tab/>
          <w:t xml:space="preserve">28A.400.300</w:t>
        </w:r>
      </w:hyperlink>
      <w:r w:rsidDel="00000000" w:rsidR="00000000" w:rsidRPr="00000000">
        <w:rPr>
          <w:rFonts w:ascii="Times New Roman" w:cs="Times New Roman" w:eastAsia="Times New Roman" w:hAnsi="Times New Roman"/>
          <w:b w:val="0"/>
          <w:sz w:val="24"/>
          <w:szCs w:val="24"/>
          <w:vertAlign w:val="baseline"/>
          <w:rtl w:val="0"/>
        </w:rPr>
        <w:tab/>
        <w:t xml:space="preserve">Hiring and discharge of employees —Written leave policies — Seniority and leave benefits of employees transferring between school districts and other educational employers</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6">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28A.400.340</w:t>
        </w:r>
      </w:hyperlink>
      <w:r w:rsidDel="00000000" w:rsidR="00000000" w:rsidRPr="00000000">
        <w:rPr>
          <w:rFonts w:ascii="Times New Roman" w:cs="Times New Roman" w:eastAsia="Times New Roman" w:hAnsi="Times New Roman"/>
          <w:b w:val="0"/>
          <w:sz w:val="24"/>
          <w:szCs w:val="24"/>
          <w:vertAlign w:val="baseline"/>
          <w:rtl w:val="0"/>
        </w:rPr>
        <w:tab/>
        <w:t xml:space="preserve">Notice of discharge to contain notice of right to appeal if available</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7">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28A.405.300</w:t>
        </w:r>
      </w:hyperlink>
      <w:r w:rsidDel="00000000" w:rsidR="00000000" w:rsidRPr="00000000">
        <w:rPr>
          <w:rFonts w:ascii="Times New Roman" w:cs="Times New Roman" w:eastAsia="Times New Roman" w:hAnsi="Times New Roman"/>
          <w:b w:val="0"/>
          <w:sz w:val="24"/>
          <w:szCs w:val="24"/>
          <w:vertAlign w:val="baseline"/>
          <w:rtl w:val="0"/>
        </w:rPr>
        <w:tab/>
        <w:t xml:space="preserve">Adverse change in contract status of certificated employee — Determination of probable cause — Notice — Opportunity for hearings</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8">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28A.405.310</w:t>
        </w:r>
      </w:hyperlink>
      <w:r w:rsidDel="00000000" w:rsidR="00000000" w:rsidRPr="00000000">
        <w:rPr>
          <w:rFonts w:ascii="Times New Roman" w:cs="Times New Roman" w:eastAsia="Times New Roman" w:hAnsi="Times New Roman"/>
          <w:b w:val="0"/>
          <w:sz w:val="24"/>
          <w:szCs w:val="24"/>
          <w:vertAlign w:val="baseline"/>
          <w:rtl w:val="0"/>
        </w:rPr>
        <w:tab/>
        <w:t xml:space="preserve">Adverse change in contract status of certificated employee, including non-renewal of contract — Hearings — Procedure</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9">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28A.410.090</w:t>
        </w:r>
      </w:hyperlink>
      <w:r w:rsidDel="00000000" w:rsidR="00000000" w:rsidRPr="00000000">
        <w:rPr>
          <w:rFonts w:ascii="Times New Roman" w:cs="Times New Roman" w:eastAsia="Times New Roman" w:hAnsi="Times New Roman"/>
          <w:b w:val="0"/>
          <w:sz w:val="24"/>
          <w:szCs w:val="24"/>
          <w:vertAlign w:val="baseline"/>
          <w:rtl w:val="0"/>
        </w:rPr>
        <w:tab/>
        <w:t xml:space="preserve">Revocation or suspension of certificate or permit to teach — Criminal basis — Complaints — Investigation — Process</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10">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28A.400.320</w:t>
        </w:r>
      </w:hyperlink>
      <w:r w:rsidDel="00000000" w:rsidR="00000000" w:rsidRPr="00000000">
        <w:rPr>
          <w:rFonts w:ascii="Times New Roman" w:cs="Times New Roman" w:eastAsia="Times New Roman" w:hAnsi="Times New Roman"/>
          <w:b w:val="0"/>
          <w:sz w:val="24"/>
          <w:szCs w:val="24"/>
          <w:vertAlign w:val="baseline"/>
          <w:rtl w:val="0"/>
        </w:rPr>
        <w:tab/>
        <w:t xml:space="preserve">Crimes against children — Mandatory termination of employees — Appeal — Recovery of salary or compensation by district</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11">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28A.405.470</w:t>
        </w:r>
      </w:hyperlink>
      <w:r w:rsidDel="00000000" w:rsidR="00000000" w:rsidRPr="00000000">
        <w:rPr>
          <w:rFonts w:ascii="Times New Roman" w:cs="Times New Roman" w:eastAsia="Times New Roman" w:hAnsi="Times New Roman"/>
          <w:b w:val="0"/>
          <w:sz w:val="24"/>
          <w:szCs w:val="24"/>
          <w:vertAlign w:val="baseline"/>
          <w:rtl w:val="0"/>
        </w:rPr>
        <w:tab/>
        <w:t xml:space="preserve">Crimes against children — Mandatory termination of certificated employees — Appeal — Recovery of salary or compensation by district</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hyperlink r:id="rId12">
        <w:r w:rsidDel="00000000" w:rsidR="00000000" w:rsidRPr="00000000">
          <w:rPr>
            <w:rFonts w:ascii="Times New Roman" w:cs="Times New Roman" w:eastAsia="Times New Roman" w:hAnsi="Times New Roman"/>
            <w:b w:val="0"/>
            <w:color w:val="0000ff"/>
            <w:sz w:val="24"/>
            <w:szCs w:val="24"/>
            <w:u w:val="single"/>
            <w:vertAlign w:val="baseline"/>
            <w:rtl w:val="0"/>
          </w:rPr>
          <w:t xml:space="preserve">28A.400.340</w:t>
        </w:r>
      </w:hyperlink>
      <w:r w:rsidDel="00000000" w:rsidR="00000000" w:rsidRPr="00000000">
        <w:rPr>
          <w:rFonts w:ascii="Times New Roman" w:cs="Times New Roman" w:eastAsia="Times New Roman" w:hAnsi="Times New Roman"/>
          <w:b w:val="0"/>
          <w:sz w:val="24"/>
          <w:szCs w:val="24"/>
          <w:vertAlign w:val="baseline"/>
          <w:rtl w:val="0"/>
        </w:rPr>
        <w:tab/>
        <w:t xml:space="preserve">Notice of discharge to contain notice of right to appeal if available</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hyperlink r:id="rId13">
        <w:r w:rsidDel="00000000" w:rsidR="00000000" w:rsidRPr="00000000">
          <w:rPr>
            <w:rFonts w:ascii="Times New Roman" w:cs="Times New Roman" w:eastAsia="Times New Roman" w:hAnsi="Times New Roman"/>
            <w:b w:val="0"/>
            <w:color w:val="0000ff"/>
            <w:sz w:val="24"/>
            <w:szCs w:val="24"/>
            <w:u w:val="single"/>
            <w:vertAlign w:val="baseline"/>
            <w:rtl w:val="0"/>
          </w:rPr>
          <w:t xml:space="preserve">WAC 180-44-060</w:t>
        </w:r>
      </w:hyperlink>
      <w:r w:rsidDel="00000000" w:rsidR="00000000" w:rsidRPr="00000000">
        <w:rPr>
          <w:rFonts w:ascii="Times New Roman" w:cs="Times New Roman" w:eastAsia="Times New Roman" w:hAnsi="Times New Roman"/>
          <w:b w:val="0"/>
          <w:sz w:val="24"/>
          <w:szCs w:val="24"/>
          <w:vertAlign w:val="baseline"/>
          <w:rtl w:val="0"/>
        </w:rPr>
        <w:tab/>
        <w:t xml:space="preserve">Drugs and alcohol — Use of as cause for dismissal</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hyperlink r:id="rId14">
        <w:r w:rsidDel="00000000" w:rsidR="00000000" w:rsidRPr="00000000">
          <w:rPr>
            <w:rFonts w:ascii="Times New Roman" w:cs="Times New Roman" w:eastAsia="Times New Roman" w:hAnsi="Times New Roman"/>
            <w:b w:val="0"/>
            <w:color w:val="0000ff"/>
            <w:sz w:val="24"/>
            <w:szCs w:val="24"/>
            <w:u w:val="single"/>
            <w:vertAlign w:val="baseline"/>
            <w:rtl w:val="0"/>
          </w:rPr>
          <w:t xml:space="preserve">Chapter 181-86 RCW</w:t>
        </w:r>
      </w:hyperlink>
      <w:r w:rsidDel="00000000" w:rsidR="00000000" w:rsidRPr="00000000">
        <w:rPr>
          <w:rFonts w:ascii="Times New Roman" w:cs="Times New Roman" w:eastAsia="Times New Roman" w:hAnsi="Times New Roman"/>
          <w:b w:val="0"/>
          <w:sz w:val="24"/>
          <w:szCs w:val="24"/>
          <w:vertAlign w:val="baseline"/>
          <w:rtl w:val="0"/>
        </w:rPr>
        <w:tab/>
        <w:t xml:space="preserve">Policies and procedures for administration of certification proceedings</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t xml:space="preserve">  </w:t>
      </w:r>
      <w:hyperlink r:id="rId15">
        <w:r w:rsidDel="00000000" w:rsidR="00000000" w:rsidRPr="00000000">
          <w:rPr>
            <w:rFonts w:ascii="Times New Roman" w:cs="Times New Roman" w:eastAsia="Times New Roman" w:hAnsi="Times New Roman"/>
            <w:b w:val="0"/>
            <w:color w:val="0000ff"/>
            <w:sz w:val="24"/>
            <w:szCs w:val="24"/>
            <w:u w:val="single"/>
            <w:vertAlign w:val="baseline"/>
            <w:rtl w:val="0"/>
          </w:rPr>
          <w:t xml:space="preserve">181-87</w:t>
        </w:r>
      </w:hyperlink>
      <w:r w:rsidDel="00000000" w:rsidR="00000000" w:rsidRPr="00000000">
        <w:rPr>
          <w:rFonts w:ascii="Times New Roman" w:cs="Times New Roman" w:eastAsia="Times New Roman" w:hAnsi="Times New Roman"/>
          <w:b w:val="0"/>
          <w:sz w:val="24"/>
          <w:szCs w:val="24"/>
          <w:vertAlign w:val="baseline"/>
          <w:rtl w:val="0"/>
        </w:rPr>
        <w:tab/>
        <w:t xml:space="preserve">Acts of Unprofessional Conduct</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Management Resources:</w:t>
      </w: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i w:val="1"/>
          <w:sz w:val="24"/>
          <w:szCs w:val="24"/>
          <w:vertAlign w:val="baseline"/>
          <w:rtl w:val="0"/>
        </w:rPr>
        <w:t xml:space="preserve">Policy News</w:t>
      </w:r>
      <w:r w:rsidDel="00000000" w:rsidR="00000000" w:rsidRPr="00000000">
        <w:rPr>
          <w:rFonts w:ascii="Times New Roman" w:cs="Times New Roman" w:eastAsia="Times New Roman" w:hAnsi="Times New Roman"/>
          <w:b w:val="0"/>
          <w:sz w:val="24"/>
          <w:szCs w:val="24"/>
          <w:vertAlign w:val="baseline"/>
          <w:rtl w:val="0"/>
        </w:rPr>
        <w:t xml:space="preserve">, October 2004</w:t>
        <w:tab/>
        <w:t xml:space="preserve">Sexual Misconduct Definitions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Adoption Date: 4/16/2012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School District Name: Carbonado School District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Revised: 4/12/2012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Classification: Discretionary</w:t>
      </w:r>
      <w:r w:rsidDel="00000000" w:rsidR="00000000" w:rsidRPr="00000000">
        <w:rPr>
          <w:rtl w:val="0"/>
        </w:rPr>
      </w:r>
    </w:p>
    <w:sectPr>
      <w:headerReference r:id="rId16" w:type="default"/>
      <w:footerReference r:id="rId17"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color w:val="000000"/>
        <w:sz w:val="20"/>
        <w:szCs w:val="20"/>
        <w:vertAlign w:val="baseline"/>
        <w:rtl w:val="0"/>
      </w:rPr>
      <w:t xml:space="preserve">Page </w:t>
    </w:r>
    <w:fldSimple w:instr="PAGE"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Fonts w:ascii="Arial" w:cs="Arial" w:eastAsia="Arial" w:hAnsi="Arial"/>
        <w:b w:val="1"/>
        <w:color w:val="000000"/>
        <w:sz w:val="20"/>
        <w:szCs w:val="20"/>
        <w:vertAlign w:val="baseline"/>
        <w:rtl w:val="0"/>
      </w:rPr>
      <w:t xml:space="preserve"> of </w:t>
    </w:r>
    <w:fldSimple w:instr="NUMPAGES"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Policy No. 5255 </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Personnel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pps.leg.wa.gov/RCW/default.aspx?cite=28A.405.470" TargetMode="External"/><Relationship Id="rId10" Type="http://schemas.openxmlformats.org/officeDocument/2006/relationships/hyperlink" Target="http://apps.leg.wa.gov/RCW/default.aspx?cite=28A.400.320" TargetMode="External"/><Relationship Id="rId13" Type="http://schemas.openxmlformats.org/officeDocument/2006/relationships/hyperlink" Target="http://apps.leg.wa.gov/WAC/default.aspx?cite=180-44-060" TargetMode="External"/><Relationship Id="rId12" Type="http://schemas.openxmlformats.org/officeDocument/2006/relationships/hyperlink" Target="http://apps.leg.wa.gov/RCW/default.aspx?cite=28A.400.34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pps.leg.wa.gov/RCW/default.aspx?cite=28A.410.090" TargetMode="External"/><Relationship Id="rId15" Type="http://schemas.openxmlformats.org/officeDocument/2006/relationships/hyperlink" Target="http://apps.leg.wa.gov/WAC/default.aspx?cite=181-87-090" TargetMode="External"/><Relationship Id="rId14" Type="http://schemas.openxmlformats.org/officeDocument/2006/relationships/hyperlink" Target="http://apps.leg.wa.gov/wac/default.aspx?cite=181-86"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hyperlink" Target="http://apps.leg.wa.gov/RCW/default.aspx?cite=28A.400.300" TargetMode="External"/><Relationship Id="rId6" Type="http://schemas.openxmlformats.org/officeDocument/2006/relationships/hyperlink" Target="http://apps.leg.wa.gov/RCW/default.aspx?cite=28A.400.340" TargetMode="External"/><Relationship Id="rId7" Type="http://schemas.openxmlformats.org/officeDocument/2006/relationships/hyperlink" Target="http://apps.leg.wa.gov/RCW/default.aspx?cite=28A.405.300" TargetMode="External"/><Relationship Id="rId8" Type="http://schemas.openxmlformats.org/officeDocument/2006/relationships/hyperlink" Target="http://apps.leg.wa.gov/RCW/default.aspx?cite=28A.405.310" TargetMode="External"/></Relationships>
</file>