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ab/>
        <w:tab/>
        <w:tab/>
        <w:tab/>
        <w:tab/>
        <w:tab/>
        <w:tab/>
        <w:tab/>
        <w:tab/>
        <w:tab/>
        <w:tab/>
        <w:tab/>
        <w:t xml:space="preserve">Policy 2030</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sz w:val="36"/>
          <w:szCs w:val="36"/>
          <w:vertAlign w:val="baseline"/>
          <w:rtl w:val="0"/>
        </w:rPr>
        <w:t xml:space="preserve">S</w:t>
      </w:r>
      <w:r w:rsidDel="00000000" w:rsidR="00000000" w:rsidRPr="00000000">
        <w:rPr>
          <w:rFonts w:ascii="Times New Roman" w:cs="Times New Roman" w:eastAsia="Times New Roman" w:hAnsi="Times New Roman"/>
          <w:b w:val="1"/>
          <w:color w:val="000000"/>
          <w:sz w:val="28"/>
          <w:szCs w:val="28"/>
          <w:vertAlign w:val="baseline"/>
          <w:rtl w:val="0"/>
        </w:rPr>
        <w:t xml:space="preserve">ERVICE </w:t>
      </w:r>
      <w:r w:rsidDel="00000000" w:rsidR="00000000" w:rsidRPr="00000000">
        <w:rPr>
          <w:rFonts w:ascii="Times New Roman" w:cs="Times New Roman" w:eastAsia="Times New Roman" w:hAnsi="Times New Roman"/>
          <w:b w:val="1"/>
          <w:color w:val="000000"/>
          <w:sz w:val="36"/>
          <w:szCs w:val="36"/>
          <w:vertAlign w:val="baseline"/>
          <w:rtl w:val="0"/>
        </w:rPr>
        <w:t xml:space="preserve">A</w:t>
      </w:r>
      <w:r w:rsidDel="00000000" w:rsidR="00000000" w:rsidRPr="00000000">
        <w:rPr>
          <w:rFonts w:ascii="Times New Roman" w:cs="Times New Roman" w:eastAsia="Times New Roman" w:hAnsi="Times New Roman"/>
          <w:b w:val="1"/>
          <w:color w:val="000000"/>
          <w:sz w:val="28"/>
          <w:szCs w:val="28"/>
          <w:vertAlign w:val="baseline"/>
          <w:rtl w:val="0"/>
        </w:rPr>
        <w:t xml:space="preserve">NIMALS IN </w:t>
      </w:r>
      <w:r w:rsidDel="00000000" w:rsidR="00000000" w:rsidRPr="00000000">
        <w:rPr>
          <w:rFonts w:ascii="Times New Roman" w:cs="Times New Roman" w:eastAsia="Times New Roman" w:hAnsi="Times New Roman"/>
          <w:b w:val="1"/>
          <w:color w:val="000000"/>
          <w:sz w:val="36"/>
          <w:szCs w:val="36"/>
          <w:vertAlign w:val="baseline"/>
          <w:rtl w:val="0"/>
        </w:rPr>
        <w:t xml:space="preserve">S</w:t>
      </w:r>
      <w:r w:rsidDel="00000000" w:rsidR="00000000" w:rsidRPr="00000000">
        <w:rPr>
          <w:rFonts w:ascii="Times New Roman" w:cs="Times New Roman" w:eastAsia="Times New Roman" w:hAnsi="Times New Roman"/>
          <w:b w:val="1"/>
          <w:color w:val="000000"/>
          <w:sz w:val="28"/>
          <w:szCs w:val="28"/>
          <w:vertAlign w:val="baseline"/>
          <w:rtl w:val="0"/>
        </w:rPr>
        <w:t xml:space="preserve">CHOOLS</w:t>
      </w:r>
      <w:r w:rsidDel="00000000" w:rsidR="00000000" w:rsidRPr="00000000">
        <w:rPr>
          <w:rFonts w:ascii="Times New Roman" w:cs="Times New Roman" w:eastAsia="Times New Roman" w:hAnsi="Times New Roman"/>
          <w:b w:val="1"/>
          <w:color w:val="000000"/>
          <w:sz w:val="36"/>
          <w:szCs w:val="36"/>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sz w:val="10"/>
          <w:szCs w:val="10"/>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The District acknowledges its responsibility to permit students and/or adults with disabilities to be accompanied by a “service animal” as required by federal laws and Washington State’s law against discrimination. This policy governs the presence of service animals in the schools, on school property, including school buses and at school activities.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A “service animal” means an animal that is trained for the purpose of assisting or accommodating a disabled person’s sensory, mental or physical disability.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The parent/guardian of a student who believes the student needs to bring a service animal to school or an employee who wishes to bring a service animal to school, must submit a written request to the building principal. The building principal, in consultation with </w:t>
      </w:r>
      <w:r w:rsidDel="00000000" w:rsidR="00000000" w:rsidRPr="00000000">
        <w:rPr>
          <w:rFonts w:ascii="Times New Roman" w:cs="Times New Roman" w:eastAsia="Times New Roman" w:hAnsi="Times New Roman"/>
          <w:color w:val="000000"/>
          <w:sz w:val="22"/>
          <w:szCs w:val="22"/>
          <w:vertAlign w:val="baseline"/>
          <w:rtl w:val="0"/>
        </w:rPr>
        <w:t xml:space="preserve">the </w:t>
      </w:r>
      <w:r w:rsidDel="00000000" w:rsidR="00000000" w:rsidRPr="00000000">
        <w:rPr>
          <w:rFonts w:ascii="Times New Roman" w:cs="Times New Roman" w:eastAsia="Times New Roman" w:hAnsi="Times New Roman"/>
          <w:color w:val="000000"/>
          <w:vertAlign w:val="baseline"/>
          <w:rtl w:val="0"/>
        </w:rPr>
        <w:t xml:space="preserve">Section </w:t>
      </w:r>
      <w:r w:rsidDel="00000000" w:rsidR="00000000" w:rsidRPr="00000000">
        <w:rPr>
          <w:rFonts w:ascii="Times New Roman" w:cs="Times New Roman" w:eastAsia="Times New Roman" w:hAnsi="Times New Roman"/>
          <w:color w:val="000000"/>
          <w:sz w:val="22"/>
          <w:szCs w:val="22"/>
          <w:vertAlign w:val="baseline"/>
          <w:rtl w:val="0"/>
        </w:rPr>
        <w:t xml:space="preserve">504 C</w:t>
      </w:r>
      <w:r w:rsidDel="00000000" w:rsidR="00000000" w:rsidRPr="00000000">
        <w:rPr>
          <w:rFonts w:ascii="Times New Roman" w:cs="Times New Roman" w:eastAsia="Times New Roman" w:hAnsi="Times New Roman"/>
          <w:color w:val="000000"/>
          <w:vertAlign w:val="baseline"/>
          <w:rtl w:val="0"/>
        </w:rPr>
        <w:t xml:space="preserve">oordinator or Director of Special Services, as appropriate, will determine whether or not to permit the service animal in school.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Cross Reference:</w:t>
        <w:tab/>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Administrative Policy – 2029 Animals as Part of the Instructional Program</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Administrative Policy – 2161 Education of Students with Disabilities Education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Administrative Policy – 2162 Education of Students with Disabilities Under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ab/>
        <w:tab/>
        <w:tab/>
        <w:tab/>
        <w:t xml:space="preserve">Section 504</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Administrative Policy – 3210 Nondiscrimination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Administrative Policy – 5010 Nondiscrimination and Affirmative Action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Legal References: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RCW 28A.642 RCW 49.60.040  Discrimination Prohibition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WAC 162-26 </w:t>
        <w:tab/>
        <w:tab/>
        <w:tab/>
        <w:t xml:space="preserve">       Definitions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WAC 392-145-021(3) </w:t>
        <w:tab/>
        <w:tab/>
        <w:t xml:space="preserve">       Public accommodations, disability discrimination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WAC 392-172A-01035</w:t>
        <w:tab/>
        <w:t xml:space="preserve">       General Operating Requirements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 xml:space="preserve">WAC 392-172A-01155 (3)          Child with a Disability or Student eligible for</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ab/>
        <w:tab/>
        <w:tab/>
        <w:tab/>
        <w:tab/>
        <w:t xml:space="preserve">       Special Education Related Services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0"/>
        <w:contextualSpacing w:val="0"/>
      </w:pPr>
      <w:r w:rsidDel="00000000" w:rsidR="00000000" w:rsidRPr="00000000">
        <w:rPr>
          <w:rFonts w:ascii="Times New Roman" w:cs="Times New Roman" w:eastAsia="Times New Roman" w:hAnsi="Times New Roman"/>
          <w:color w:val="000000"/>
          <w:vertAlign w:val="baseline"/>
          <w:rtl w:val="0"/>
        </w:rPr>
        <w:tab/>
        <w:t xml:space="preserve">WAC 392-190</w:t>
        <w:tab/>
        <w:tab/>
        <w:tab/>
        <w:t xml:space="preserve">       Equal Educational Opportunity</w:t>
      </w:r>
      <w:r w:rsidDel="00000000" w:rsidR="00000000" w:rsidRPr="00000000">
        <w:rPr>
          <w:rFonts w:ascii="Nova Mono" w:cs="Nova Mono" w:eastAsia="Nova Mono" w:hAnsi="Nova Mono"/>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unlawful          discrimination prohibited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American with Disabilities Act (ADA), Revised Title II Regulations, §35 Service animals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Section 504 of the Rehabilitation Act of 1973</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sz w:val="10"/>
          <w:szCs w:val="10"/>
          <w:vertAlign w:val="baseline"/>
          <w:rtl w:val="0"/>
        </w:rPr>
        <w:t xml:space="preserve">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sz w:val="18"/>
          <w:szCs w:val="18"/>
          <w:vertAlign w:val="baseline"/>
          <w:rtl w:val="0"/>
        </w:rPr>
        <w:t xml:space="preserve">Carbonado School District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sz w:val="18"/>
          <w:szCs w:val="18"/>
          <w:vertAlign w:val="baseline"/>
          <w:rtl w:val="0"/>
        </w:rPr>
        <w:t xml:space="preserve">Adopted or Revised under Policy Governance – 1/21/2014 </w:t>
      </w:r>
      <w:r w:rsidDel="00000000" w:rsidR="00000000" w:rsidRPr="00000000">
        <w:rPr>
          <w:rFonts w:ascii="Times New Roman" w:cs="Times New Roman" w:eastAsia="Times New Roman" w:hAnsi="Times New Roman"/>
          <w:color w:val="000000"/>
          <w:sz w:val="18"/>
          <w:szCs w:val="18"/>
          <w:u w:val="single"/>
          <w:vertAlign w:val="baseline"/>
          <w:rtl w:val="0"/>
        </w:rPr>
        <w:tab/>
        <w:tab/>
        <w:tab/>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vaMono-regular.ttf"/></Relationships>
</file>