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b w:val="1"/>
          <w:vertAlign w:val="baseline"/>
          <w:rtl w:val="0"/>
        </w:rPr>
        <w:t xml:space="preserve">Resolution Of Staff Complaints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board recognizes the importance of establishing reasonable and effective means for resolving difficulties which may arise among staff, to reduce potential areas of grievances and to establish and maintain recognized two-way channels of communication between supervisory personnel and staff.</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board intends to expedite the process for all concerned parties. Staff are urged to use the administrative procedures whenever they feel that a district action has aggrieved them. The procedures are established to secure a proper and equitable solution to a complaint at the lowest possible supervisory level and to facilitate an orderly procedure within which solutions may be pursued.</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 complaint may be a claim by a staff member based upon alleged violation, misinterpretation or a misapplication of existing district policies or administrative procedures.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All documents, communications and records dealing with the processing of a grievance will be maintained in a separate file and will not be kept in the personnel file of the aggrieved.</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Legal Reference: </w:t>
        <w:tab/>
      </w:r>
      <w:hyperlink r:id="rId5">
        <w:r w:rsidDel="00000000" w:rsidR="00000000" w:rsidRPr="00000000">
          <w:rPr>
            <w:rFonts w:ascii="Times New Roman" w:cs="Times New Roman" w:eastAsia="Times New Roman" w:hAnsi="Times New Roman"/>
            <w:b w:val="0"/>
            <w:color w:val="0000ff"/>
            <w:sz w:val="24"/>
            <w:szCs w:val="24"/>
            <w:u w:val="single"/>
            <w:vertAlign w:val="baseline"/>
            <w:rtl w:val="0"/>
          </w:rPr>
          <w:t xml:space="preserve">Chapter 42.56 RCW</w:t>
        </w:r>
      </w:hyperlink>
      <w:r w:rsidDel="00000000" w:rsidR="00000000" w:rsidRPr="00000000">
        <w:rPr>
          <w:rFonts w:ascii="Times New Roman" w:cs="Times New Roman" w:eastAsia="Times New Roman" w:hAnsi="Times New Roman"/>
          <w:b w:val="0"/>
          <w:color w:val="000000"/>
          <w:sz w:val="24"/>
          <w:szCs w:val="24"/>
          <w:vertAlign w:val="baseline"/>
          <w:rtl w:val="0"/>
        </w:rPr>
        <w:tab/>
        <w:t xml:space="preserve">Public Records Act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Adoption Date: 4/16/2012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School District Name: Carbonado School District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Revised: 04.98; 12.11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Classification: Discretionary</w:t>
      </w:r>
      <w:r w:rsidDel="00000000" w:rsidR="00000000" w:rsidRPr="00000000">
        <w:rPr>
          <w:rtl w:val="0"/>
        </w:rPr>
      </w:r>
    </w:p>
    <w:sectPr>
      <w:headerReference r:id="rId6"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Policy No.5240 </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Personnel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pps.leg.wa.gov/RCW/default.aspx?cite=42.56" TargetMode="External"/><Relationship Id="rId6" Type="http://schemas.openxmlformats.org/officeDocument/2006/relationships/header" Target="header1.xml"/></Relationships>
</file>