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b w:val="1"/>
          <w:vertAlign w:val="baseline"/>
          <w:rtl w:val="0"/>
        </w:rPr>
        <w:t xml:space="preserve">Resolution Of Staff Complaints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board recognizes the importance of establishing reasonable and effective means for resolving difficulties which may arise among staff, to reduce potential areas of grievances and to establish and maintain recognized two-way channels of communication between supervisory personnel and staff.</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board intends to expedite the process for all concerned parties. Staff are urged to use the administrative procedures whenever they feel that a district action has aggrieved them. The procedures are established to secure a proper and equitable solution to a complaint at the lowest possible supervisory level and to facilitate an orderly procedure within which solutions may be pursued.</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A complaint may be a claim by a staff member based upon alleged violation, misinterpretation or a misapplication of existing district policies or administrative procedures.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All documents, communications and records dealing with the processing of a grievance will be maintained in a separate file and will not be kept in the personnel file of the aggrieved.</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Legal Reference: </w:t>
        <w:tab/>
      </w:r>
      <w:hyperlink r:id="rId5">
        <w:r w:rsidDel="00000000" w:rsidR="00000000" w:rsidRPr="00000000">
          <w:rPr>
            <w:rFonts w:ascii="Times New Roman" w:cs="Times New Roman" w:eastAsia="Times New Roman" w:hAnsi="Times New Roman"/>
            <w:b w:val="0"/>
            <w:color w:val="0000ff"/>
            <w:sz w:val="24"/>
            <w:szCs w:val="24"/>
            <w:u w:val="single"/>
            <w:vertAlign w:val="baseline"/>
            <w:rtl w:val="0"/>
          </w:rPr>
          <w:t xml:space="preserve">Chapter 42.56 RCW</w:t>
        </w:r>
      </w:hyperlink>
      <w:r w:rsidDel="00000000" w:rsidR="00000000" w:rsidRPr="00000000">
        <w:rPr>
          <w:rFonts w:ascii="Times New Roman" w:cs="Times New Roman" w:eastAsia="Times New Roman" w:hAnsi="Times New Roman"/>
          <w:b w:val="0"/>
          <w:color w:val="000000"/>
          <w:sz w:val="24"/>
          <w:szCs w:val="24"/>
          <w:vertAlign w:val="baseline"/>
          <w:rtl w:val="0"/>
        </w:rPr>
        <w:tab/>
        <w:t xml:space="preserve">Public Records Act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0"/>
          <w:szCs w:val="20"/>
          <w:vertAlign w:val="baseline"/>
          <w:rtl w:val="0"/>
        </w:rPr>
        <w:t xml:space="preserve">Adoption Date: 4/16/2012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0"/>
          <w:szCs w:val="20"/>
          <w:vertAlign w:val="baseline"/>
          <w:rtl w:val="0"/>
        </w:rPr>
        <w:t xml:space="preserve">School District Name: Carbonado School District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0"/>
          <w:szCs w:val="20"/>
          <w:vertAlign w:val="baseline"/>
          <w:rtl w:val="0"/>
        </w:rPr>
        <w:t xml:space="preserve">Revised: 04.98; 12.11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0"/>
          <w:szCs w:val="20"/>
          <w:vertAlign w:val="baseline"/>
          <w:rtl w:val="0"/>
        </w:rPr>
        <w:t xml:space="preserve">Classification: Discretionary</w:t>
      </w:r>
      <w:r w:rsidDel="00000000" w:rsidR="00000000" w:rsidRPr="00000000">
        <w:rPr>
          <w:rtl w:val="0"/>
        </w:rPr>
      </w:r>
    </w:p>
    <w:sectPr>
      <w:headerReference r:id="rId6" w:type="default"/>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Fonts w:ascii="Arial" w:cs="Arial" w:eastAsia="Arial" w:hAnsi="Arial"/>
        <w:b w:val="1"/>
        <w:sz w:val="20"/>
        <w:szCs w:val="20"/>
        <w:vertAlign w:val="baseline"/>
        <w:rtl w:val="0"/>
      </w:rPr>
      <w:t xml:space="preserve">Policy No.5240 </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Fonts w:ascii="Arial" w:cs="Arial" w:eastAsia="Arial" w:hAnsi="Arial"/>
        <w:b w:val="1"/>
        <w:sz w:val="20"/>
        <w:szCs w:val="20"/>
        <w:vertAlign w:val="baseline"/>
        <w:rtl w:val="0"/>
      </w:rPr>
      <w:t xml:space="preserve">Personnel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0" w:line="240" w:lineRule="auto"/>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120" w:before="120" w:line="240" w:lineRule="auto"/>
    </w:pPr>
    <w:rPr>
      <w:rFonts w:ascii="Arial" w:cs="Arial" w:eastAsia="Arial" w:hAnsi="Arial"/>
      <w:b w:val="1"/>
      <w:sz w:val="28"/>
      <w:szCs w:val="28"/>
      <w:vertAlign w:val="baseline"/>
    </w:rPr>
  </w:style>
  <w:style w:type="paragraph" w:styleId="Heading3">
    <w:name w:val="heading 3"/>
    <w:basedOn w:val="Normal"/>
    <w:next w:val="Normal"/>
    <w:pPr>
      <w:keepNext w:val="1"/>
      <w:keepLines w:val="1"/>
      <w:spacing w:after="0" w:before="12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apps.leg.wa.gov/RCW/default.aspx?cite=42.56" TargetMode="External"/><Relationship Id="rId6" Type="http://schemas.openxmlformats.org/officeDocument/2006/relationships/header" Target="header1.xml"/></Relationships>
</file>