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left="2800" w:firstLine="0"/>
        <w:contextualSpacing w:val="0"/>
        <w:jc w:val="both"/>
      </w:pPr>
      <w:r w:rsidDel="00000000" w:rsidR="00000000" w:rsidRPr="00000000">
        <w:rPr>
          <w:rFonts w:ascii="Times New Roman" w:cs="Times New Roman" w:eastAsia="Times New Roman" w:hAnsi="Times New Roman"/>
          <w:b w:val="1"/>
          <w:color w:val="000000"/>
          <w:sz w:val="36"/>
          <w:szCs w:val="36"/>
          <w:vertAlign w:val="baseline"/>
          <w:rtl w:val="0"/>
        </w:rPr>
        <w:tab/>
        <w:t xml:space="preserve">             </w:t>
      </w:r>
      <w:r w:rsidDel="00000000" w:rsidR="00000000" w:rsidRPr="00000000">
        <w:rPr>
          <w:rFonts w:ascii="Times New Roman" w:cs="Times New Roman" w:eastAsia="Times New Roman" w:hAnsi="Times New Roman"/>
          <w:b w:val="1"/>
          <w:color w:val="000000"/>
          <w:vertAlign w:val="baseline"/>
          <w:rtl w:val="0"/>
        </w:rPr>
        <w:t xml:space="preserve">Policy 2320</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2800" w:firstLine="0"/>
        <w:contextualSpacing w:val="0"/>
      </w:pPr>
      <w:r w:rsidDel="00000000" w:rsidR="00000000" w:rsidRPr="00000000">
        <w:rPr>
          <w:rFonts w:ascii="Times New Roman" w:cs="Times New Roman" w:eastAsia="Times New Roman" w:hAnsi="Times New Roman"/>
          <w:b w:val="1"/>
          <w:color w:val="000000"/>
          <w:sz w:val="36"/>
          <w:szCs w:val="36"/>
          <w:vertAlign w:val="baseline"/>
          <w:rtl w:val="0"/>
        </w:rPr>
        <w:t xml:space="preserve">      F</w:t>
      </w:r>
      <w:r w:rsidDel="00000000" w:rsidR="00000000" w:rsidRPr="00000000">
        <w:rPr>
          <w:rFonts w:ascii="Times New Roman" w:cs="Times New Roman" w:eastAsia="Times New Roman" w:hAnsi="Times New Roman"/>
          <w:b w:val="1"/>
          <w:color w:val="000000"/>
          <w:sz w:val="28"/>
          <w:szCs w:val="28"/>
          <w:vertAlign w:val="baseline"/>
          <w:rtl w:val="0"/>
        </w:rPr>
        <w:t xml:space="preserve">IELD </w:t>
      </w:r>
      <w:r w:rsidDel="00000000" w:rsidR="00000000" w:rsidRPr="00000000">
        <w:rPr>
          <w:rFonts w:ascii="Times New Roman" w:cs="Times New Roman" w:eastAsia="Times New Roman" w:hAnsi="Times New Roman"/>
          <w:b w:val="1"/>
          <w:color w:val="000000"/>
          <w:sz w:val="36"/>
          <w:szCs w:val="36"/>
          <w:vertAlign w:val="baseline"/>
          <w:rtl w:val="0"/>
        </w:rPr>
        <w:t xml:space="preserve">T</w:t>
      </w:r>
      <w:r w:rsidDel="00000000" w:rsidR="00000000" w:rsidRPr="00000000">
        <w:rPr>
          <w:rFonts w:ascii="Times New Roman" w:cs="Times New Roman" w:eastAsia="Times New Roman" w:hAnsi="Times New Roman"/>
          <w:b w:val="1"/>
          <w:color w:val="000000"/>
          <w:sz w:val="28"/>
          <w:szCs w:val="28"/>
          <w:vertAlign w:val="baseline"/>
          <w:rtl w:val="0"/>
        </w:rPr>
        <w:t xml:space="preserve">RIPS</w:t>
      </w:r>
      <w:r w:rsidDel="00000000" w:rsidR="00000000" w:rsidRPr="00000000">
        <w:rPr>
          <w:rFonts w:ascii="Times New Roman" w:cs="Times New Roman" w:eastAsia="Times New Roman" w:hAnsi="Times New Roman"/>
          <w:b w:val="1"/>
          <w:color w:val="000000"/>
          <w:sz w:val="36"/>
          <w:szCs w:val="36"/>
          <w:vertAlign w:val="baseline"/>
          <w:rtl w:val="0"/>
        </w:rPr>
        <w:t xml:space="preserve">: 2320</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color w:val="000000"/>
          <w:sz w:val="8"/>
          <w:szCs w:val="8"/>
          <w:vertAlign w:val="baseline"/>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Field trips are defined as travel away from the school premises, under the supervision of a staff member, for the purpose of affording students a direct learning experience not available in the classroom. The District recognizes that field trips can be important elements of education when they are appropriate to the needs, interests, and abilities of students, and relevant to the achievement of standards and Grade Level Expectations. Such trips can supplement and enrich classroom experiences by providing learning opportunities in an environment beyond the classroom.</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Field trips must be organized to permit all students enrolled in the sponsoring teacher’s class or Associated Student Body (ASB) activity to participate without excessive personal financial commitment. Field trip expenses may be met through the District budget, school budget, ASB funds, charitable donations and/or fund-raising projects.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The Superintendent/designee has the authority to approve all field trips, other than international field trips. The Board shall approve all international field trips and shall be informed of all District sponsored overnight and out-of-state trips involving students.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The Superintendent/designee shall develop procedures for the operation of field trips, which ensure the safety of students. The Superintendent/designee reserves the right to cancel or revoke sponsorship of any field trip if it is deemed to be in the best interests of students to do so. The Superintendent/designee shall determine whether sufficient safety concerns exist to warrant revoking permission for any field trip activity. Examples of reasons a trip may be cancelled or sponsorship revoked include, but are not limited to, an increase in national security status, health alerts, or terrorism. Adequate pre-planning is required to cover any financial burden incurred as a result of the district’s cancellation of a trip.</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All field trips require approval of the principal prior to planning, announcements or scheduling. Parent/guardian notification and written permission must be in place prior to any student embarking on a field trip.</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000000"/>
          <w:vertAlign w:val="baseline"/>
          <w:rtl w:val="0"/>
        </w:rPr>
        <w:t xml:space="preserve">Cross References:</w:t>
        <w:tab/>
        <w:t xml:space="preserve">Administrative Policy – 3520  </w:t>
        <w:tab/>
        <w:t xml:space="preserve">Student Fees, Fines, Charges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vertAlign w:val="baseline"/>
          <w:rtl w:val="0"/>
        </w:rPr>
        <w:t xml:space="preserve">Legal References:</w:t>
        <w:tab/>
        <w:t xml:space="preserve">RCW 28A.330.100(5) </w:t>
        <w:tab/>
        <w:tab/>
        <w:tab/>
        <w:t xml:space="preserve">Additional powers of board</w:t>
      </w:r>
      <w:r w:rsidDel="00000000" w:rsidR="00000000" w:rsidRPr="00000000">
        <w:rPr>
          <w:rtl w:val="0"/>
        </w:rPr>
      </w:r>
    </w:p>
    <w:p w:rsidR="00000000" w:rsidDel="00000000" w:rsidP="00000000" w:rsidRDefault="00000000" w:rsidRPr="00000000">
      <w:pPr>
        <w:widowControl w:val="0"/>
        <w:ind w:left="5600" w:firstLine="0"/>
        <w:contextualSpacing w:val="0"/>
      </w:pPr>
      <w:r w:rsidDel="00000000" w:rsidR="00000000" w:rsidRPr="00000000">
        <w:rPr>
          <w:rFonts w:ascii="Times New Roman" w:cs="Times New Roman" w:eastAsia="Times New Roman" w:hAnsi="Times New Roman"/>
          <w:color w:val="000000"/>
          <w:vertAlign w:val="baseline"/>
          <w:rtl w:val="0"/>
        </w:rPr>
        <w:tab/>
        <w:tab/>
        <w:tab/>
        <w:tab/>
        <w:t xml:space="preserve">RCW 67.20.020</w:t>
        <w:tab/>
        <w:tab/>
        <w:tab/>
        <w:tab/>
        <w:t xml:space="preserve">Parks, bathing beaches, public camps–Contracts for cooperation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vertAlign w:val="baseline"/>
          <w:rtl w:val="0"/>
        </w:rPr>
        <w:tab/>
        <w:tab/>
        <w:tab/>
        <w:tab/>
        <w:t xml:space="preserve">WAC 181-87-090</w:t>
        <w:tab/>
        <w:tab/>
        <w:tab/>
        <w:t xml:space="preserve">Improper remunerative conduct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vertAlign w:val="baseline"/>
          <w:rtl w:val="0"/>
        </w:rPr>
        <w:t xml:space="preserve">Adoption Date: </w:t>
      </w:r>
      <w:r w:rsidDel="00000000" w:rsidR="00000000" w:rsidRPr="00000000">
        <w:rPr>
          <w:rFonts w:ascii="Times New Roman" w:cs="Times New Roman" w:eastAsia="Times New Roman" w:hAnsi="Times New Roman"/>
          <w:color w:val="000000"/>
          <w:u w:val="single"/>
          <w:vertAlign w:val="baseline"/>
          <w:rtl w:val="0"/>
        </w:rPr>
        <w:tab/>
        <w:t xml:space="preserve">4/21/2014</w:t>
        <w:tab/>
        <w:tab/>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sz w:val="8"/>
          <w:szCs w:val="8"/>
          <w:vertAlign w:val="baseline"/>
          <w:rtl w:val="0"/>
        </w:rPr>
        <w:t xml:space="preserve">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vertAlign w:val="baseline"/>
          <w:rtl w:val="0"/>
        </w:rPr>
        <w:t xml:space="preserve">Previously Adopted: 1990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350" w:right="1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